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Ind w:w="-639" w:type="dxa"/>
        <w:tblCellMar>
          <w:left w:w="70" w:type="dxa"/>
          <w:right w:w="70" w:type="dxa"/>
        </w:tblCellMar>
        <w:tblLook w:val="04A0" w:firstRow="1" w:lastRow="0" w:firstColumn="1" w:lastColumn="0" w:noHBand="0" w:noVBand="1"/>
      </w:tblPr>
      <w:tblGrid>
        <w:gridCol w:w="3261"/>
        <w:gridCol w:w="2835"/>
        <w:gridCol w:w="2988"/>
        <w:gridCol w:w="1554"/>
      </w:tblGrid>
      <w:tr w:rsidR="00CA1C4E" w:rsidRPr="004F3376" w:rsidTr="0012438D">
        <w:trPr>
          <w:trHeight w:val="70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İlgili Birim / Sahibi</w:t>
            </w:r>
          </w:p>
        </w:tc>
        <w:tc>
          <w:tcPr>
            <w:tcW w:w="7377" w:type="dxa"/>
            <w:gridSpan w:val="3"/>
            <w:shd w:val="clear" w:color="auto" w:fill="auto"/>
            <w:hideMark/>
          </w:tcPr>
          <w:p w:rsidR="00BE39BF" w:rsidRPr="00EF70B7" w:rsidRDefault="002A3E2A" w:rsidP="007936B0">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Gastroenteroloji</w:t>
            </w:r>
            <w:r w:rsidR="00137848" w:rsidRPr="00EF70B7">
              <w:rPr>
                <w:rFonts w:ascii="Times New Roman" w:eastAsia="Times New Roman" w:hAnsi="Times New Roman" w:cs="Times New Roman"/>
                <w:bCs/>
                <w:sz w:val="20"/>
                <w:szCs w:val="20"/>
                <w:lang w:eastAsia="tr-TR"/>
              </w:rPr>
              <w:t xml:space="preserve"> Enstitüsü </w:t>
            </w:r>
            <w:r w:rsidR="007936B0">
              <w:rPr>
                <w:rFonts w:ascii="Times New Roman" w:eastAsia="Times New Roman" w:hAnsi="Times New Roman" w:cs="Times New Roman"/>
                <w:bCs/>
                <w:sz w:val="20"/>
                <w:szCs w:val="20"/>
                <w:lang w:eastAsia="tr-TR"/>
              </w:rPr>
              <w:t xml:space="preserve">İhale </w:t>
            </w:r>
            <w:r w:rsidR="00E2300F">
              <w:rPr>
                <w:rFonts w:ascii="Times New Roman" w:eastAsia="Times New Roman" w:hAnsi="Times New Roman" w:cs="Times New Roman"/>
                <w:bCs/>
                <w:sz w:val="20"/>
                <w:szCs w:val="20"/>
                <w:lang w:eastAsia="tr-TR"/>
              </w:rPr>
              <w:t>Birimi</w:t>
            </w:r>
          </w:p>
        </w:tc>
      </w:tr>
      <w:tr w:rsidR="00CA1C4E" w:rsidRPr="004F3376" w:rsidTr="0012438D">
        <w:trPr>
          <w:trHeight w:val="70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İlgili Kanun/Yönetmelik/Yönerge</w:t>
            </w:r>
          </w:p>
        </w:tc>
        <w:tc>
          <w:tcPr>
            <w:tcW w:w="7377" w:type="dxa"/>
            <w:gridSpan w:val="3"/>
            <w:shd w:val="clear" w:color="auto" w:fill="auto"/>
            <w:hideMark/>
          </w:tcPr>
          <w:p w:rsidR="006E425A" w:rsidRPr="00EF70B7" w:rsidRDefault="007936B0" w:rsidP="007936B0">
            <w:pPr>
              <w:rPr>
                <w:rFonts w:ascii="Times New Roman" w:hAnsi="Times New Roman" w:cs="Times New Roman"/>
                <w:sz w:val="20"/>
                <w:szCs w:val="20"/>
                <w:u w:val="single"/>
              </w:rPr>
            </w:pPr>
            <w:r>
              <w:rPr>
                <w:rFonts w:ascii="Times New Roman" w:hAnsi="Times New Roman" w:cs="Times New Roman"/>
                <w:sz w:val="20"/>
                <w:szCs w:val="20"/>
              </w:rPr>
              <w:t>4734</w:t>
            </w:r>
            <w:r w:rsidR="008D274D">
              <w:rPr>
                <w:rFonts w:ascii="Times New Roman" w:hAnsi="Times New Roman" w:cs="Times New Roman"/>
                <w:sz w:val="20"/>
                <w:szCs w:val="20"/>
              </w:rPr>
              <w:t xml:space="preserve"> Sayılı </w:t>
            </w:r>
            <w:r>
              <w:rPr>
                <w:rFonts w:ascii="Times New Roman" w:hAnsi="Times New Roman" w:cs="Times New Roman"/>
                <w:sz w:val="20"/>
                <w:szCs w:val="20"/>
              </w:rPr>
              <w:t xml:space="preserve">Kamu İhale </w:t>
            </w:r>
            <w:r w:rsidR="008D274D">
              <w:rPr>
                <w:rFonts w:ascii="Times New Roman" w:hAnsi="Times New Roman" w:cs="Times New Roman"/>
                <w:sz w:val="20"/>
                <w:szCs w:val="20"/>
              </w:rPr>
              <w:t>K</w:t>
            </w:r>
            <w:r w:rsidR="00B27978">
              <w:rPr>
                <w:rFonts w:ascii="Times New Roman" w:hAnsi="Times New Roman" w:cs="Times New Roman"/>
                <w:sz w:val="20"/>
                <w:szCs w:val="20"/>
              </w:rPr>
              <w:t>anun</w:t>
            </w:r>
            <w:r>
              <w:rPr>
                <w:rFonts w:ascii="Times New Roman" w:hAnsi="Times New Roman" w:cs="Times New Roman"/>
                <w:sz w:val="20"/>
                <w:szCs w:val="20"/>
              </w:rPr>
              <w:t>u-2886 Sayılı Devlet İhale Kanunu</w:t>
            </w:r>
            <w:r w:rsidR="00B27978">
              <w:rPr>
                <w:rFonts w:ascii="Times New Roman" w:hAnsi="Times New Roman" w:cs="Times New Roman"/>
                <w:sz w:val="20"/>
                <w:szCs w:val="20"/>
              </w:rPr>
              <w:t xml:space="preserve"> </w:t>
            </w:r>
          </w:p>
        </w:tc>
      </w:tr>
      <w:tr w:rsidR="00CA1C4E" w:rsidRPr="004F3376" w:rsidTr="0012438D">
        <w:trPr>
          <w:trHeight w:val="703"/>
        </w:trPr>
        <w:tc>
          <w:tcPr>
            <w:tcW w:w="3261" w:type="dxa"/>
            <w:shd w:val="clear" w:color="auto" w:fill="auto"/>
            <w:noWrap/>
            <w:hideMark/>
          </w:tcPr>
          <w:p w:rsidR="00BE39BF" w:rsidRPr="00173FE8" w:rsidRDefault="003A6CDE" w:rsidP="00D67252">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İlgili Prosedür</w:t>
            </w:r>
          </w:p>
        </w:tc>
        <w:tc>
          <w:tcPr>
            <w:tcW w:w="7377" w:type="dxa"/>
            <w:gridSpan w:val="3"/>
            <w:shd w:val="clear" w:color="auto" w:fill="auto"/>
            <w:noWrap/>
            <w:hideMark/>
          </w:tcPr>
          <w:p w:rsidR="00BE39BF" w:rsidRPr="00173FE8" w:rsidRDefault="00B62079" w:rsidP="007936B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Gastroenteroloji</w:t>
            </w:r>
            <w:r w:rsidR="00137848">
              <w:rPr>
                <w:rFonts w:ascii="Times New Roman" w:eastAsia="Times New Roman" w:hAnsi="Times New Roman" w:cs="Times New Roman"/>
                <w:sz w:val="20"/>
                <w:szCs w:val="20"/>
                <w:lang w:eastAsia="tr-TR"/>
              </w:rPr>
              <w:t xml:space="preserve"> Enstitüsü</w:t>
            </w:r>
            <w:r w:rsidR="00C066B6">
              <w:rPr>
                <w:rFonts w:ascii="Times New Roman" w:eastAsia="Times New Roman" w:hAnsi="Times New Roman" w:cs="Times New Roman"/>
                <w:sz w:val="20"/>
                <w:szCs w:val="20"/>
                <w:lang w:eastAsia="tr-TR"/>
              </w:rPr>
              <w:t xml:space="preserve"> </w:t>
            </w:r>
            <w:r w:rsidR="007936B0">
              <w:rPr>
                <w:rFonts w:ascii="Times New Roman" w:eastAsia="Times New Roman" w:hAnsi="Times New Roman" w:cs="Times New Roman"/>
                <w:sz w:val="20"/>
                <w:szCs w:val="20"/>
                <w:lang w:eastAsia="tr-TR"/>
              </w:rPr>
              <w:t>İhale</w:t>
            </w:r>
            <w:r w:rsidR="00C066B6">
              <w:rPr>
                <w:rFonts w:ascii="Times New Roman" w:eastAsia="Times New Roman" w:hAnsi="Times New Roman" w:cs="Times New Roman"/>
                <w:sz w:val="20"/>
                <w:szCs w:val="20"/>
                <w:lang w:eastAsia="tr-TR"/>
              </w:rPr>
              <w:t xml:space="preserve"> İşlemleri</w:t>
            </w:r>
            <w:r w:rsidR="007721D0">
              <w:rPr>
                <w:rFonts w:ascii="Times New Roman" w:eastAsia="Times New Roman" w:hAnsi="Times New Roman" w:cs="Times New Roman"/>
                <w:sz w:val="20"/>
                <w:szCs w:val="20"/>
                <w:lang w:eastAsia="tr-TR"/>
              </w:rPr>
              <w:t xml:space="preserve"> Prosedürü </w:t>
            </w:r>
          </w:p>
        </w:tc>
      </w:tr>
      <w:tr w:rsidR="00CA1C4E" w:rsidRPr="004F3376" w:rsidTr="0012438D">
        <w:trPr>
          <w:trHeight w:val="1215"/>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1. AMAÇ</w:t>
            </w:r>
          </w:p>
        </w:tc>
        <w:tc>
          <w:tcPr>
            <w:tcW w:w="7377" w:type="dxa"/>
            <w:gridSpan w:val="3"/>
            <w:shd w:val="clear" w:color="auto" w:fill="auto"/>
            <w:hideMark/>
          </w:tcPr>
          <w:p w:rsidR="00BE39BF" w:rsidRPr="00173FE8" w:rsidRDefault="00DA7F18" w:rsidP="007936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Enstitümüzde </w:t>
            </w:r>
            <w:r w:rsidR="007936B0">
              <w:rPr>
                <w:rFonts w:ascii="Times New Roman" w:eastAsia="Times New Roman" w:hAnsi="Times New Roman" w:cs="Times New Roman"/>
                <w:color w:val="000000"/>
                <w:sz w:val="20"/>
                <w:szCs w:val="20"/>
                <w:lang w:eastAsia="tr-TR"/>
              </w:rPr>
              <w:t xml:space="preserve">verilen </w:t>
            </w:r>
            <w:r>
              <w:rPr>
                <w:rFonts w:ascii="Times New Roman" w:eastAsia="Times New Roman" w:hAnsi="Times New Roman" w:cs="Times New Roman"/>
                <w:color w:val="000000"/>
                <w:sz w:val="20"/>
                <w:szCs w:val="20"/>
                <w:lang w:eastAsia="tr-TR"/>
              </w:rPr>
              <w:t>hizmet</w:t>
            </w:r>
            <w:r w:rsidR="007936B0">
              <w:rPr>
                <w:rFonts w:ascii="Times New Roman" w:eastAsia="Times New Roman" w:hAnsi="Times New Roman" w:cs="Times New Roman"/>
                <w:color w:val="000000"/>
                <w:sz w:val="20"/>
                <w:szCs w:val="20"/>
                <w:lang w:eastAsia="tr-TR"/>
              </w:rPr>
              <w:t>ten dolayı ihtiyaç olan</w:t>
            </w:r>
            <w:r>
              <w:rPr>
                <w:rFonts w:ascii="Times New Roman" w:eastAsia="Times New Roman" w:hAnsi="Times New Roman" w:cs="Times New Roman"/>
                <w:color w:val="000000"/>
                <w:sz w:val="20"/>
                <w:szCs w:val="20"/>
                <w:lang w:eastAsia="tr-TR"/>
              </w:rPr>
              <w:t xml:space="preserve"> tüm </w:t>
            </w:r>
            <w:r w:rsidR="007936B0">
              <w:rPr>
                <w:rFonts w:ascii="Times New Roman" w:eastAsia="Times New Roman" w:hAnsi="Times New Roman" w:cs="Times New Roman"/>
                <w:color w:val="000000"/>
                <w:sz w:val="20"/>
                <w:szCs w:val="20"/>
                <w:lang w:eastAsia="tr-TR"/>
              </w:rPr>
              <w:t xml:space="preserve"> tıbbi sarf,</w:t>
            </w:r>
            <w:r w:rsidR="002423A1">
              <w:rPr>
                <w:rFonts w:ascii="Times New Roman" w:eastAsia="Times New Roman" w:hAnsi="Times New Roman" w:cs="Times New Roman"/>
                <w:color w:val="000000"/>
                <w:sz w:val="20"/>
                <w:szCs w:val="20"/>
                <w:lang w:eastAsia="tr-TR"/>
              </w:rPr>
              <w:t xml:space="preserve"> </w:t>
            </w:r>
            <w:r w:rsidR="007936B0">
              <w:rPr>
                <w:rFonts w:ascii="Times New Roman" w:eastAsia="Times New Roman" w:hAnsi="Times New Roman" w:cs="Times New Roman"/>
                <w:color w:val="000000"/>
                <w:sz w:val="20"/>
                <w:szCs w:val="20"/>
                <w:lang w:eastAsia="tr-TR"/>
              </w:rPr>
              <w:t>tıbbi malzeme,</w:t>
            </w:r>
            <w:r w:rsidR="002423A1">
              <w:rPr>
                <w:rFonts w:ascii="Times New Roman" w:eastAsia="Times New Roman" w:hAnsi="Times New Roman" w:cs="Times New Roman"/>
                <w:color w:val="000000"/>
                <w:sz w:val="20"/>
                <w:szCs w:val="20"/>
                <w:lang w:eastAsia="tr-TR"/>
              </w:rPr>
              <w:t xml:space="preserve"> </w:t>
            </w:r>
            <w:r w:rsidR="007936B0">
              <w:rPr>
                <w:rFonts w:ascii="Times New Roman" w:eastAsia="Times New Roman" w:hAnsi="Times New Roman" w:cs="Times New Roman"/>
                <w:color w:val="000000"/>
                <w:sz w:val="20"/>
                <w:szCs w:val="20"/>
                <w:lang w:eastAsia="tr-TR"/>
              </w:rPr>
              <w:t>tıbbi cihaz ve tüm idari ihtiyaçların kaliteli ve uygun fiyata tedarik edilmesi</w:t>
            </w:r>
          </w:p>
        </w:tc>
      </w:tr>
      <w:tr w:rsidR="00CA1C4E" w:rsidRPr="004F3376" w:rsidTr="0012438D">
        <w:trPr>
          <w:trHeight w:val="115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2. KAPSAM</w:t>
            </w:r>
          </w:p>
        </w:tc>
        <w:tc>
          <w:tcPr>
            <w:tcW w:w="7377" w:type="dxa"/>
            <w:gridSpan w:val="3"/>
            <w:shd w:val="clear" w:color="auto" w:fill="auto"/>
            <w:hideMark/>
          </w:tcPr>
          <w:p w:rsidR="002423A1" w:rsidRDefault="00DA7F18" w:rsidP="007936B0">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Bu hizmet</w:t>
            </w:r>
            <w:r w:rsidR="007936B0">
              <w:rPr>
                <w:rFonts w:ascii="Times New Roman" w:hAnsi="Times New Roman" w:cs="Times New Roman"/>
                <w:sz w:val="20"/>
                <w:szCs w:val="20"/>
              </w:rPr>
              <w:t>in tamamı D</w:t>
            </w:r>
            <w:r>
              <w:rPr>
                <w:rFonts w:ascii="Times New Roman" w:hAnsi="Times New Roman" w:cs="Times New Roman"/>
                <w:sz w:val="20"/>
                <w:szCs w:val="20"/>
              </w:rPr>
              <w:t xml:space="preserve">öner </w:t>
            </w:r>
            <w:r w:rsidR="007936B0">
              <w:rPr>
                <w:rFonts w:ascii="Times New Roman" w:hAnsi="Times New Roman" w:cs="Times New Roman"/>
                <w:sz w:val="20"/>
                <w:szCs w:val="20"/>
              </w:rPr>
              <w:t>S</w:t>
            </w:r>
            <w:r>
              <w:rPr>
                <w:rFonts w:ascii="Times New Roman" w:hAnsi="Times New Roman" w:cs="Times New Roman"/>
                <w:sz w:val="20"/>
                <w:szCs w:val="20"/>
              </w:rPr>
              <w:t>ermaye kapsamındadır.</w:t>
            </w:r>
          </w:p>
          <w:p w:rsidR="00BE39BF" w:rsidRPr="002423A1" w:rsidRDefault="00BE39BF" w:rsidP="002423A1">
            <w:pPr>
              <w:rPr>
                <w:rFonts w:ascii="Times New Roman" w:eastAsia="Times New Roman" w:hAnsi="Times New Roman" w:cs="Times New Roman"/>
                <w:sz w:val="20"/>
                <w:szCs w:val="20"/>
                <w:lang w:eastAsia="tr-TR"/>
              </w:rPr>
            </w:pPr>
          </w:p>
        </w:tc>
      </w:tr>
      <w:tr w:rsidR="00CA1C4E" w:rsidRPr="004F3376" w:rsidTr="003F69F7">
        <w:trPr>
          <w:trHeight w:val="1320"/>
        </w:trPr>
        <w:tc>
          <w:tcPr>
            <w:tcW w:w="3261" w:type="dxa"/>
            <w:tcBorders>
              <w:bottom w:val="single" w:sz="4" w:space="0" w:color="auto"/>
            </w:tcBorders>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3. TANIMLAR / KISALTMALAR</w:t>
            </w:r>
          </w:p>
        </w:tc>
        <w:tc>
          <w:tcPr>
            <w:tcW w:w="7377" w:type="dxa"/>
            <w:gridSpan w:val="3"/>
            <w:tcBorders>
              <w:bottom w:val="single" w:sz="4" w:space="0" w:color="auto"/>
            </w:tcBorders>
            <w:shd w:val="clear" w:color="auto" w:fill="auto"/>
            <w:hideMark/>
          </w:tcPr>
          <w:p w:rsidR="00BB6ABA" w:rsidRPr="00173FE8" w:rsidRDefault="00BB6ABA" w:rsidP="00BB6ABA">
            <w:pPr>
              <w:spacing w:after="0" w:line="240" w:lineRule="auto"/>
              <w:rPr>
                <w:rFonts w:ascii="Times New Roman" w:eastAsia="Times New Roman" w:hAnsi="Times New Roman" w:cs="Times New Roman"/>
                <w:b/>
                <w:bCs/>
                <w:sz w:val="20"/>
                <w:szCs w:val="20"/>
                <w:lang w:eastAsia="tr-TR"/>
              </w:rPr>
            </w:pPr>
            <w:r w:rsidRPr="00173FE8">
              <w:rPr>
                <w:rFonts w:ascii="Times New Roman" w:eastAsia="Times New Roman" w:hAnsi="Times New Roman" w:cs="Times New Roman"/>
                <w:b/>
                <w:bCs/>
                <w:sz w:val="20"/>
                <w:szCs w:val="20"/>
                <w:lang w:eastAsia="tr-TR"/>
              </w:rPr>
              <w:t xml:space="preserve">Üniversite: </w:t>
            </w:r>
            <w:r w:rsidRPr="00173FE8">
              <w:rPr>
                <w:rFonts w:ascii="Times New Roman" w:eastAsia="Times New Roman" w:hAnsi="Times New Roman" w:cs="Times New Roman"/>
                <w:bCs/>
                <w:sz w:val="20"/>
                <w:szCs w:val="20"/>
                <w:lang w:eastAsia="tr-TR"/>
              </w:rPr>
              <w:t>Marmara Üniversitesi</w:t>
            </w:r>
          </w:p>
          <w:p w:rsidR="00D67252" w:rsidRPr="00913503" w:rsidRDefault="00DA7F18" w:rsidP="00BB6ABA">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Döner Sermaye:</w:t>
            </w:r>
            <w:r w:rsidRPr="00913503">
              <w:rPr>
                <w:rFonts w:ascii="Times New Roman" w:eastAsia="Times New Roman" w:hAnsi="Times New Roman" w:cs="Times New Roman"/>
                <w:bCs/>
                <w:sz w:val="20"/>
                <w:szCs w:val="20"/>
                <w:lang w:eastAsia="tr-TR"/>
              </w:rPr>
              <w:t xml:space="preserve"> Genel yönetim kapsamındaki kamu idarelerine kanunlarla verilen asli ve sürekli kamu görevlerine bağlı olarak ortaya çıkan ve genel idare esaslarına göre yürütülmesi mümkün olmayan mal ve hizmet üretimine ilişkin faaliyetlerin sürdürülebilmesi </w:t>
            </w:r>
            <w:r w:rsidR="00913503" w:rsidRPr="00913503">
              <w:rPr>
                <w:rFonts w:ascii="Times New Roman" w:eastAsia="Times New Roman" w:hAnsi="Times New Roman" w:cs="Times New Roman"/>
                <w:bCs/>
                <w:sz w:val="20"/>
                <w:szCs w:val="20"/>
                <w:lang w:eastAsia="tr-TR"/>
              </w:rPr>
              <w:t>için, kamu</w:t>
            </w:r>
            <w:r w:rsidRPr="00913503">
              <w:rPr>
                <w:rFonts w:ascii="Times New Roman" w:eastAsia="Times New Roman" w:hAnsi="Times New Roman" w:cs="Times New Roman"/>
                <w:bCs/>
                <w:sz w:val="20"/>
                <w:szCs w:val="20"/>
                <w:lang w:eastAsia="tr-TR"/>
              </w:rPr>
              <w:t xml:space="preserve"> idaresine bağ</w:t>
            </w:r>
            <w:r w:rsidR="00913503" w:rsidRPr="00913503">
              <w:rPr>
                <w:rFonts w:ascii="Times New Roman" w:eastAsia="Times New Roman" w:hAnsi="Times New Roman" w:cs="Times New Roman"/>
                <w:bCs/>
                <w:sz w:val="20"/>
                <w:szCs w:val="20"/>
                <w:lang w:eastAsia="tr-TR"/>
              </w:rPr>
              <w:t>lı olarak kurulmuş işletmelerini yürüten birim.</w:t>
            </w:r>
          </w:p>
          <w:p w:rsidR="002A3E2A" w:rsidRPr="001F770B" w:rsidRDefault="007936B0" w:rsidP="001F770B">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
                <w:bCs/>
                <w:sz w:val="20"/>
                <w:szCs w:val="20"/>
                <w:lang w:eastAsia="tr-TR"/>
              </w:rPr>
              <w:t>İhale</w:t>
            </w:r>
            <w:r w:rsidR="00913503" w:rsidRPr="00913503">
              <w:rPr>
                <w:rFonts w:ascii="Times New Roman" w:eastAsia="Times New Roman" w:hAnsi="Times New Roman" w:cs="Times New Roman"/>
                <w:b/>
                <w:bCs/>
                <w:sz w:val="20"/>
                <w:szCs w:val="20"/>
                <w:lang w:eastAsia="tr-TR"/>
              </w:rPr>
              <w:t xml:space="preserve"> Yetkilisi</w:t>
            </w:r>
            <w:r w:rsidR="001F770B">
              <w:rPr>
                <w:rFonts w:ascii="Times New Roman" w:eastAsia="Times New Roman" w:hAnsi="Times New Roman" w:cs="Times New Roman"/>
                <w:b/>
                <w:bCs/>
                <w:sz w:val="20"/>
                <w:szCs w:val="20"/>
                <w:lang w:eastAsia="tr-TR"/>
              </w:rPr>
              <w:t xml:space="preserve">: </w:t>
            </w:r>
            <w:r w:rsidR="001F770B" w:rsidRPr="001F770B">
              <w:rPr>
                <w:rFonts w:ascii="Times New Roman" w:eastAsia="Times New Roman" w:hAnsi="Times New Roman" w:cs="Times New Roman"/>
                <w:bCs/>
                <w:sz w:val="20"/>
                <w:szCs w:val="20"/>
                <w:lang w:eastAsia="tr-TR"/>
              </w:rPr>
              <w:t>İdarenin, ihale ve harcama yapma yetki ve sorumluluğuna sahip kişi</w:t>
            </w:r>
            <w:r w:rsidR="001F770B" w:rsidRPr="001F770B">
              <w:rPr>
                <w:rFonts w:ascii="Times New Roman" w:eastAsia="Times New Roman" w:hAnsi="Times New Roman" w:cs="Times New Roman"/>
                <w:b/>
                <w:bCs/>
                <w:sz w:val="20"/>
                <w:szCs w:val="20"/>
                <w:lang w:eastAsia="tr-TR"/>
              </w:rPr>
              <w:t xml:space="preserve"> </w:t>
            </w:r>
            <w:r w:rsidR="001F770B">
              <w:rPr>
                <w:rFonts w:ascii="Times New Roman" w:eastAsia="Times New Roman" w:hAnsi="Times New Roman" w:cs="Times New Roman"/>
                <w:b/>
                <w:bCs/>
                <w:sz w:val="20"/>
                <w:szCs w:val="20"/>
                <w:lang w:eastAsia="tr-TR"/>
              </w:rPr>
              <w:t>İhale Komisyonu</w:t>
            </w:r>
            <w:r w:rsidR="002A3E2A" w:rsidRPr="002A3E2A">
              <w:rPr>
                <w:rFonts w:ascii="Times New Roman" w:eastAsia="Times New Roman" w:hAnsi="Times New Roman" w:cs="Times New Roman"/>
                <w:b/>
                <w:bCs/>
                <w:sz w:val="20"/>
                <w:szCs w:val="20"/>
                <w:lang w:eastAsia="tr-TR"/>
              </w:rPr>
              <w:t>:</w:t>
            </w:r>
            <w:r w:rsidR="002A3E2A">
              <w:rPr>
                <w:rFonts w:ascii="Times New Roman" w:eastAsia="Times New Roman" w:hAnsi="Times New Roman" w:cs="Times New Roman"/>
                <w:bCs/>
                <w:sz w:val="20"/>
                <w:szCs w:val="20"/>
                <w:lang w:eastAsia="tr-TR"/>
              </w:rPr>
              <w:t xml:space="preserve"> </w:t>
            </w:r>
            <w:r w:rsidR="001F770B">
              <w:rPr>
                <w:rFonts w:ascii="Times New Roman" w:eastAsia="Times New Roman" w:hAnsi="Times New Roman" w:cs="Times New Roman"/>
                <w:bCs/>
                <w:sz w:val="20"/>
                <w:szCs w:val="20"/>
                <w:lang w:eastAsia="tr-TR"/>
              </w:rPr>
              <w:t>İhale yetkilisi b</w:t>
            </w:r>
            <w:r w:rsidR="001F770B" w:rsidRPr="001F770B">
              <w:rPr>
                <w:rFonts w:ascii="Times New Roman" w:eastAsia="Times New Roman" w:hAnsi="Times New Roman" w:cs="Times New Roman"/>
                <w:bCs/>
                <w:sz w:val="20"/>
                <w:szCs w:val="20"/>
                <w:lang w:eastAsia="tr-TR"/>
              </w:rPr>
              <w:t>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dahil olmak üzere görevlendirir.</w:t>
            </w:r>
          </w:p>
        </w:tc>
      </w:tr>
      <w:tr w:rsidR="00BE39BF" w:rsidRPr="004F3376" w:rsidTr="00D47B09">
        <w:trPr>
          <w:trHeight w:val="290"/>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4. UYGULAMA ADIMLARI</w:t>
            </w:r>
          </w:p>
        </w:tc>
        <w:tc>
          <w:tcPr>
            <w:tcW w:w="2835" w:type="dxa"/>
            <w:tcBorders>
              <w:top w:val="single" w:sz="4" w:space="0" w:color="auto"/>
              <w:left w:val="nil"/>
              <w:bottom w:val="single" w:sz="4" w:space="0" w:color="auto"/>
              <w:right w:val="single" w:sz="4" w:space="0" w:color="auto"/>
            </w:tcBorders>
            <w:shd w:val="clear" w:color="auto" w:fill="auto"/>
            <w:hideMark/>
          </w:tcPr>
          <w:p w:rsidR="00BE39BF" w:rsidRPr="00173FE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Sorumluluk</w:t>
            </w:r>
          </w:p>
        </w:tc>
        <w:tc>
          <w:tcPr>
            <w:tcW w:w="2988" w:type="dxa"/>
            <w:tcBorders>
              <w:top w:val="single" w:sz="4" w:space="0" w:color="auto"/>
              <w:left w:val="nil"/>
              <w:bottom w:val="single" w:sz="4" w:space="0" w:color="auto"/>
              <w:right w:val="single" w:sz="4" w:space="0" w:color="auto"/>
            </w:tcBorders>
            <w:shd w:val="clear" w:color="auto" w:fill="auto"/>
            <w:hideMark/>
          </w:tcPr>
          <w:p w:rsidR="00BE39BF" w:rsidRPr="00173FE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Çıktılar</w:t>
            </w:r>
          </w:p>
        </w:tc>
        <w:tc>
          <w:tcPr>
            <w:tcW w:w="1554" w:type="dxa"/>
            <w:tcBorders>
              <w:top w:val="single" w:sz="4" w:space="0" w:color="auto"/>
              <w:left w:val="nil"/>
              <w:bottom w:val="single" w:sz="4" w:space="0" w:color="auto"/>
              <w:right w:val="single" w:sz="4" w:space="0" w:color="auto"/>
            </w:tcBorders>
            <w:shd w:val="clear" w:color="auto" w:fill="auto"/>
            <w:hideMark/>
          </w:tcPr>
          <w:p w:rsidR="00BE39BF" w:rsidRPr="00173FE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Zamanlama</w:t>
            </w:r>
          </w:p>
        </w:tc>
      </w:tr>
      <w:tr w:rsidR="00BE39BF" w:rsidRPr="004F3376" w:rsidTr="0012438D">
        <w:trPr>
          <w:trHeight w:val="30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BE39BF" w:rsidRPr="00173FE8" w:rsidRDefault="00173FE8" w:rsidP="001F770B">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4.1.</w:t>
            </w:r>
            <w:r w:rsidR="001F770B">
              <w:rPr>
                <w:rFonts w:ascii="Times New Roman" w:eastAsia="Times New Roman" w:hAnsi="Times New Roman" w:cs="Times New Roman"/>
                <w:bCs/>
                <w:color w:val="000000"/>
                <w:sz w:val="20"/>
                <w:szCs w:val="20"/>
                <w:lang w:eastAsia="tr-TR"/>
              </w:rPr>
              <w:t>İlgili birimden talep listesi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E39BF" w:rsidRPr="001C1908" w:rsidRDefault="001F770B" w:rsidP="001C1908">
            <w:pPr>
              <w:spacing w:after="0" w:line="240" w:lineRule="auto"/>
              <w:jc w:val="center"/>
              <w:rPr>
                <w:rFonts w:ascii="Times New Roman" w:eastAsia="Times New Roman" w:hAnsi="Times New Roman" w:cs="Times New Roman"/>
                <w:bCs/>
                <w:color w:val="000000"/>
                <w:sz w:val="20"/>
                <w:szCs w:val="20"/>
                <w:lang w:eastAsia="tr-TR"/>
              </w:rPr>
            </w:pPr>
            <w:r>
              <w:rPr>
                <w:rFonts w:ascii="Times New Roman" w:hAnsi="Times New Roman" w:cs="Times New Roman"/>
                <w:bCs/>
                <w:color w:val="000000"/>
                <w:sz w:val="20"/>
                <w:szCs w:val="20"/>
              </w:rPr>
              <w:t>Ambar</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BE39BF" w:rsidRPr="00173FE8" w:rsidRDefault="001F770B" w:rsidP="009535C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Talep Yazısı</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BE39BF" w:rsidRPr="00173FE8" w:rsidRDefault="002423A1" w:rsidP="002423A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1C1908">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Saat</w:t>
            </w:r>
          </w:p>
        </w:tc>
      </w:tr>
      <w:tr w:rsidR="00475CFE" w:rsidRPr="004F3376" w:rsidTr="0012438D">
        <w:trPr>
          <w:trHeight w:val="129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CFE" w:rsidRPr="00BA153E" w:rsidRDefault="00173FE8" w:rsidP="001F770B">
            <w:pPr>
              <w:rPr>
                <w:rFonts w:ascii="Times New Roman" w:hAnsi="Times New Roman" w:cs="Times New Roman"/>
                <w:color w:val="000000"/>
                <w:sz w:val="20"/>
                <w:szCs w:val="20"/>
              </w:rPr>
            </w:pPr>
            <w:r w:rsidRPr="00173FE8">
              <w:rPr>
                <w:rFonts w:ascii="Times New Roman" w:hAnsi="Times New Roman" w:cs="Times New Roman"/>
                <w:b/>
                <w:bCs/>
                <w:color w:val="000000"/>
                <w:sz w:val="20"/>
                <w:szCs w:val="20"/>
              </w:rPr>
              <w:t>4.</w:t>
            </w:r>
            <w:r w:rsidR="001C1908">
              <w:rPr>
                <w:rFonts w:ascii="Times New Roman" w:hAnsi="Times New Roman" w:cs="Times New Roman"/>
                <w:b/>
                <w:bCs/>
                <w:color w:val="000000"/>
                <w:sz w:val="20"/>
                <w:szCs w:val="20"/>
              </w:rPr>
              <w:t>2.</w:t>
            </w:r>
            <w:r w:rsidR="001F770B">
              <w:rPr>
                <w:rFonts w:ascii="Times New Roman" w:hAnsi="Times New Roman" w:cs="Times New Roman"/>
                <w:bCs/>
                <w:color w:val="000000"/>
                <w:sz w:val="20"/>
                <w:szCs w:val="20"/>
              </w:rPr>
              <w:t>Alımı yapılacak olan ürünler için ödenek kontrolü ve yaklaşık maliyet çalışması yapılır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75CFE" w:rsidRPr="001C1908" w:rsidRDefault="001F770B" w:rsidP="001C1908">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Satın Alma Birimi</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475CFE" w:rsidRPr="00173FE8" w:rsidRDefault="001F770B" w:rsidP="009535C2">
            <w:pPr>
              <w:jc w:val="center"/>
              <w:rPr>
                <w:rFonts w:ascii="Times New Roman" w:hAnsi="Times New Roman" w:cs="Times New Roman"/>
                <w:color w:val="000000"/>
                <w:sz w:val="20"/>
                <w:szCs w:val="20"/>
              </w:rPr>
            </w:pPr>
            <w:r>
              <w:rPr>
                <w:rFonts w:ascii="Times New Roman" w:hAnsi="Times New Roman" w:cs="Times New Roman"/>
                <w:color w:val="000000"/>
                <w:sz w:val="20"/>
                <w:szCs w:val="20"/>
              </w:rPr>
              <w:t>Yaklaşık maliyet için görevlendirme yazısı</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475CFE" w:rsidRPr="00173FE8" w:rsidRDefault="002423A1" w:rsidP="009535C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1C1908">
              <w:rPr>
                <w:rFonts w:ascii="Times New Roman" w:eastAsia="Times New Roman" w:hAnsi="Times New Roman" w:cs="Times New Roman"/>
                <w:color w:val="000000"/>
                <w:sz w:val="20"/>
                <w:szCs w:val="20"/>
                <w:lang w:eastAsia="tr-TR"/>
              </w:rPr>
              <w:t xml:space="preserve"> </w:t>
            </w:r>
            <w:r w:rsidR="00475CFE" w:rsidRPr="00173FE8">
              <w:rPr>
                <w:rFonts w:ascii="Times New Roman" w:eastAsia="Times New Roman" w:hAnsi="Times New Roman" w:cs="Times New Roman"/>
                <w:color w:val="000000"/>
                <w:sz w:val="20"/>
                <w:szCs w:val="20"/>
                <w:lang w:eastAsia="tr-TR"/>
              </w:rPr>
              <w:t>Gün</w:t>
            </w:r>
          </w:p>
        </w:tc>
      </w:tr>
      <w:tr w:rsidR="00475CFE" w:rsidRPr="004F3376" w:rsidTr="0012438D">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EF4" w:rsidRDefault="00173FE8" w:rsidP="001C1908">
            <w:pPr>
              <w:rPr>
                <w:rFonts w:ascii="Times New Roman" w:hAnsi="Times New Roman" w:cs="Times New Roman"/>
                <w:bCs/>
                <w:color w:val="000000"/>
                <w:sz w:val="20"/>
                <w:szCs w:val="20"/>
              </w:rPr>
            </w:pPr>
            <w:r w:rsidRPr="00173FE8">
              <w:rPr>
                <w:rFonts w:ascii="Times New Roman" w:hAnsi="Times New Roman" w:cs="Times New Roman"/>
                <w:b/>
                <w:bCs/>
                <w:color w:val="000000"/>
                <w:sz w:val="20"/>
                <w:szCs w:val="20"/>
              </w:rPr>
              <w:t>4.</w:t>
            </w:r>
            <w:r w:rsidR="001C1908">
              <w:rPr>
                <w:rFonts w:ascii="Times New Roman" w:hAnsi="Times New Roman" w:cs="Times New Roman"/>
                <w:b/>
                <w:bCs/>
                <w:color w:val="000000"/>
                <w:sz w:val="20"/>
                <w:szCs w:val="20"/>
              </w:rPr>
              <w:t>3</w:t>
            </w:r>
            <w:r w:rsidR="00475CFE" w:rsidRPr="00173FE8">
              <w:rPr>
                <w:rFonts w:ascii="Times New Roman" w:hAnsi="Times New Roman" w:cs="Times New Roman"/>
                <w:b/>
                <w:bCs/>
                <w:color w:val="000000"/>
                <w:sz w:val="20"/>
                <w:szCs w:val="20"/>
              </w:rPr>
              <w:t xml:space="preserve">. </w:t>
            </w:r>
            <w:r w:rsidR="001F770B">
              <w:rPr>
                <w:rFonts w:ascii="Times New Roman" w:hAnsi="Times New Roman" w:cs="Times New Roman"/>
                <w:bCs/>
                <w:color w:val="000000"/>
                <w:sz w:val="20"/>
                <w:szCs w:val="20"/>
              </w:rPr>
              <w:t>Satın alma yöntemi belirlendikten sonra onay için İhale Yetkilisine sunum yapılır.</w:t>
            </w:r>
          </w:p>
          <w:p w:rsidR="001F770B" w:rsidRDefault="001C1908" w:rsidP="001F770B">
            <w:pPr>
              <w:rPr>
                <w:rFonts w:ascii="Times New Roman" w:hAnsi="Times New Roman" w:cs="Times New Roman"/>
                <w:bCs/>
                <w:color w:val="000000"/>
                <w:sz w:val="20"/>
                <w:szCs w:val="20"/>
              </w:rPr>
            </w:pPr>
            <w:r w:rsidRPr="001C1908">
              <w:rPr>
                <w:rFonts w:ascii="Times New Roman" w:hAnsi="Times New Roman" w:cs="Times New Roman"/>
                <w:b/>
                <w:bCs/>
                <w:color w:val="000000"/>
                <w:sz w:val="20"/>
                <w:szCs w:val="20"/>
              </w:rPr>
              <w:t>4.4.</w:t>
            </w:r>
            <w:r w:rsidR="001F770B">
              <w:rPr>
                <w:rFonts w:ascii="Times New Roman" w:hAnsi="Times New Roman" w:cs="Times New Roman"/>
                <w:bCs/>
                <w:color w:val="000000"/>
                <w:sz w:val="20"/>
                <w:szCs w:val="20"/>
              </w:rPr>
              <w:t>İhale Yetkilisi tarafından komisyon kurularak İhale süreci</w:t>
            </w:r>
            <w:r w:rsidR="002423A1">
              <w:rPr>
                <w:rFonts w:ascii="Times New Roman" w:hAnsi="Times New Roman" w:cs="Times New Roman"/>
                <w:bCs/>
                <w:color w:val="000000"/>
                <w:sz w:val="20"/>
                <w:szCs w:val="20"/>
              </w:rPr>
              <w:t>ne başlanır.</w:t>
            </w:r>
          </w:p>
          <w:p w:rsidR="001C1908" w:rsidRPr="002423A1" w:rsidRDefault="001F770B" w:rsidP="002423A1">
            <w:pPr>
              <w:rPr>
                <w:rFonts w:ascii="Times New Roman" w:hAnsi="Times New Roman" w:cs="Times New Roman"/>
                <w:b/>
                <w:color w:val="000000"/>
                <w:sz w:val="20"/>
                <w:szCs w:val="20"/>
              </w:rPr>
            </w:pPr>
            <w:r w:rsidRPr="002423A1">
              <w:rPr>
                <w:rFonts w:ascii="Times New Roman" w:hAnsi="Times New Roman" w:cs="Times New Roman"/>
                <w:b/>
                <w:bCs/>
                <w:color w:val="000000"/>
                <w:sz w:val="20"/>
                <w:szCs w:val="20"/>
              </w:rPr>
              <w:t>4.5</w:t>
            </w:r>
            <w:r w:rsidR="002423A1">
              <w:rPr>
                <w:rFonts w:ascii="Times New Roman" w:hAnsi="Times New Roman" w:cs="Times New Roman"/>
                <w:b/>
                <w:bCs/>
                <w:color w:val="000000"/>
                <w:sz w:val="20"/>
                <w:szCs w:val="20"/>
              </w:rPr>
              <w:t xml:space="preserve">. </w:t>
            </w:r>
            <w:r w:rsidR="002423A1" w:rsidRPr="002423A1">
              <w:rPr>
                <w:rFonts w:ascii="Times New Roman" w:hAnsi="Times New Roman" w:cs="Times New Roman"/>
                <w:bCs/>
                <w:color w:val="000000"/>
                <w:sz w:val="20"/>
                <w:szCs w:val="20"/>
              </w:rPr>
              <w:t xml:space="preserve">4547 sayılı Kamu </w:t>
            </w:r>
            <w:r w:rsidR="002423A1" w:rsidRPr="002423A1">
              <w:rPr>
                <w:rFonts w:ascii="Times New Roman" w:hAnsi="Times New Roman" w:cs="Times New Roman"/>
                <w:color w:val="000000"/>
                <w:sz w:val="20"/>
                <w:szCs w:val="20"/>
              </w:rPr>
              <w:t>İhale Kanunu ve yönetmeliklere göre İhale işlemleri gerçekleştirilir.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B734D" w:rsidRDefault="002423A1" w:rsidP="001C1908">
            <w:pPr>
              <w:jc w:val="center"/>
              <w:rPr>
                <w:rFonts w:ascii="Times New Roman" w:hAnsi="Times New Roman" w:cs="Times New Roman"/>
                <w:b/>
                <w:bCs/>
                <w:color w:val="000000"/>
                <w:sz w:val="20"/>
                <w:szCs w:val="20"/>
              </w:rPr>
            </w:pPr>
            <w:r>
              <w:rPr>
                <w:rFonts w:ascii="Times New Roman" w:hAnsi="Times New Roman" w:cs="Times New Roman"/>
                <w:bCs/>
                <w:color w:val="000000"/>
                <w:sz w:val="20"/>
                <w:szCs w:val="20"/>
              </w:rPr>
              <w:t>Satın Alma Birimi</w:t>
            </w:r>
          </w:p>
          <w:p w:rsidR="00BB734D" w:rsidRPr="00BB734D" w:rsidRDefault="00BB734D" w:rsidP="00BB734D">
            <w:pPr>
              <w:rPr>
                <w:rFonts w:ascii="Times New Roman" w:hAnsi="Times New Roman" w:cs="Times New Roman"/>
                <w:sz w:val="20"/>
                <w:szCs w:val="20"/>
              </w:rPr>
            </w:pPr>
          </w:p>
          <w:p w:rsidR="00BB734D" w:rsidRPr="00BB734D" w:rsidRDefault="00BB734D" w:rsidP="00BB734D">
            <w:pPr>
              <w:rPr>
                <w:rFonts w:ascii="Times New Roman" w:hAnsi="Times New Roman" w:cs="Times New Roman"/>
                <w:sz w:val="20"/>
                <w:szCs w:val="20"/>
              </w:rPr>
            </w:pPr>
          </w:p>
          <w:p w:rsidR="00BB734D" w:rsidRDefault="00BB734D" w:rsidP="00BB734D">
            <w:pPr>
              <w:rPr>
                <w:rFonts w:ascii="Times New Roman" w:hAnsi="Times New Roman" w:cs="Times New Roman"/>
                <w:sz w:val="20"/>
                <w:szCs w:val="20"/>
              </w:rPr>
            </w:pPr>
          </w:p>
          <w:p w:rsidR="00BB734D" w:rsidRPr="00BB734D" w:rsidRDefault="00BB734D" w:rsidP="00BB734D">
            <w:pPr>
              <w:rPr>
                <w:rFonts w:ascii="Times New Roman" w:hAnsi="Times New Roman" w:cs="Times New Roman"/>
                <w:sz w:val="20"/>
                <w:szCs w:val="20"/>
              </w:rPr>
            </w:pPr>
          </w:p>
          <w:p w:rsidR="00BB734D" w:rsidRDefault="00BB734D" w:rsidP="00BB734D">
            <w:pPr>
              <w:rPr>
                <w:rFonts w:ascii="Times New Roman" w:hAnsi="Times New Roman" w:cs="Times New Roman"/>
                <w:sz w:val="20"/>
                <w:szCs w:val="20"/>
              </w:rPr>
            </w:pPr>
          </w:p>
          <w:p w:rsidR="00475CFE" w:rsidRPr="00BB734D" w:rsidRDefault="00475CFE" w:rsidP="00BB734D">
            <w:pPr>
              <w:rPr>
                <w:rFonts w:ascii="Times New Roman" w:hAnsi="Times New Roman" w:cs="Times New Roman"/>
                <w:sz w:val="20"/>
                <w:szCs w:val="20"/>
              </w:rPr>
            </w:pP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475CFE" w:rsidRDefault="002423A1" w:rsidP="009535C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Üst yazı</w:t>
            </w:r>
          </w:p>
          <w:p w:rsidR="002423A1" w:rsidRPr="00173FE8" w:rsidRDefault="002423A1" w:rsidP="009535C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Görevlendirme yazıları</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475CFE" w:rsidRPr="00173FE8" w:rsidRDefault="002423A1" w:rsidP="002423A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1C1908">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Ay</w:t>
            </w:r>
          </w:p>
        </w:tc>
      </w:tr>
      <w:tr w:rsidR="004725C4" w:rsidRPr="004F3376" w:rsidTr="00282F77">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725C4" w:rsidRPr="00173FE8" w:rsidRDefault="004725C4" w:rsidP="001D73FD">
            <w:pP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5. İlgili Forumlar</w:t>
            </w:r>
          </w:p>
        </w:tc>
        <w:tc>
          <w:tcPr>
            <w:tcW w:w="7377" w:type="dxa"/>
            <w:gridSpan w:val="3"/>
            <w:tcBorders>
              <w:top w:val="single" w:sz="4" w:space="0" w:color="auto"/>
              <w:left w:val="nil"/>
              <w:bottom w:val="single" w:sz="4" w:space="0" w:color="auto"/>
              <w:right w:val="single" w:sz="4" w:space="0" w:color="auto"/>
            </w:tcBorders>
            <w:shd w:val="clear" w:color="auto" w:fill="auto"/>
            <w:vAlign w:val="center"/>
          </w:tcPr>
          <w:p w:rsidR="001C4BBD" w:rsidRPr="00173FE8" w:rsidRDefault="00092F1F" w:rsidP="002423A1">
            <w:pPr>
              <w:spacing w:after="0" w:line="240" w:lineRule="auto"/>
              <w:rPr>
                <w:rFonts w:ascii="Times New Roman" w:eastAsia="Times New Roman" w:hAnsi="Times New Roman" w:cs="Times New Roman"/>
                <w:color w:val="000000"/>
                <w:sz w:val="20"/>
                <w:szCs w:val="20"/>
                <w:lang w:eastAsia="tr-TR"/>
              </w:rPr>
            </w:pPr>
            <w:r w:rsidRPr="00090F8F">
              <w:rPr>
                <w:rFonts w:ascii="Times New Roman" w:eastAsia="Times New Roman" w:hAnsi="Times New Roman" w:cs="Times New Roman"/>
                <w:b/>
                <w:color w:val="000000"/>
                <w:sz w:val="20"/>
                <w:szCs w:val="20"/>
                <w:lang w:eastAsia="tr-TR"/>
              </w:rPr>
              <w:t>No:</w:t>
            </w:r>
            <w:r w:rsidR="002423A1">
              <w:rPr>
                <w:rFonts w:ascii="Times New Roman" w:eastAsia="Times New Roman" w:hAnsi="Times New Roman" w:cs="Times New Roman"/>
                <w:b/>
                <w:color w:val="000000"/>
                <w:sz w:val="20"/>
                <w:szCs w:val="20"/>
                <w:lang w:eastAsia="tr-TR"/>
              </w:rPr>
              <w:t xml:space="preserve"> </w:t>
            </w:r>
            <w:r w:rsidR="002423A1">
              <w:rPr>
                <w:rFonts w:ascii="Times New Roman" w:eastAsia="Times New Roman" w:hAnsi="Times New Roman" w:cs="Times New Roman"/>
                <w:color w:val="000000"/>
                <w:sz w:val="20"/>
                <w:szCs w:val="20"/>
                <w:lang w:eastAsia="tr-TR"/>
              </w:rPr>
              <w:t>Kik. standart formlar</w:t>
            </w:r>
            <w:r w:rsidR="002423A1" w:rsidRPr="00173FE8">
              <w:rPr>
                <w:rFonts w:ascii="Times New Roman" w:eastAsia="Times New Roman" w:hAnsi="Times New Roman" w:cs="Times New Roman"/>
                <w:color w:val="000000"/>
                <w:sz w:val="20"/>
                <w:szCs w:val="20"/>
                <w:lang w:eastAsia="tr-TR"/>
              </w:rPr>
              <w:t xml:space="preserve"> </w:t>
            </w:r>
          </w:p>
        </w:tc>
      </w:tr>
    </w:tbl>
    <w:p w:rsidR="005D5872" w:rsidRPr="008956D8" w:rsidRDefault="005D5872">
      <w:pPr>
        <w:rPr>
          <w:rFonts w:ascii="Times New Roman" w:hAnsi="Times New Roman" w:cs="Times New Roman"/>
          <w:b/>
          <w:sz w:val="20"/>
          <w:szCs w:val="20"/>
        </w:rPr>
      </w:pPr>
    </w:p>
    <w:sectPr w:rsidR="005D5872" w:rsidRPr="008956D8" w:rsidSect="001155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20" w:rsidRDefault="00137B20" w:rsidP="00BE39BF">
      <w:pPr>
        <w:spacing w:after="0" w:line="240" w:lineRule="auto"/>
      </w:pPr>
      <w:r>
        <w:separator/>
      </w:r>
    </w:p>
  </w:endnote>
  <w:endnote w:type="continuationSeparator" w:id="0">
    <w:p w:rsidR="00137B20" w:rsidRDefault="00137B20" w:rsidP="00B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0D" w:rsidRDefault="008A7F0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ook w:val="04A0" w:firstRow="1" w:lastRow="0" w:firstColumn="1" w:lastColumn="0" w:noHBand="0" w:noVBand="1"/>
    </w:tblPr>
    <w:tblGrid>
      <w:gridCol w:w="2904"/>
      <w:gridCol w:w="2625"/>
      <w:gridCol w:w="2268"/>
      <w:gridCol w:w="2693"/>
    </w:tblGrid>
    <w:tr w:rsidR="0012438D" w:rsidTr="00D67252">
      <w:trPr>
        <w:trHeight w:val="1266"/>
      </w:trPr>
      <w:tc>
        <w:tcPr>
          <w:tcW w:w="2904" w:type="dxa"/>
        </w:tcPr>
        <w:p w:rsidR="0012438D" w:rsidRDefault="0012438D"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H</w:t>
          </w:r>
          <w:r>
            <w:rPr>
              <w:rFonts w:ascii="Times New Roman" w:hAnsi="Times New Roman" w:cs="Times New Roman"/>
              <w:b/>
              <w:sz w:val="20"/>
              <w:szCs w:val="20"/>
            </w:rPr>
            <w:t>azırlayan</w:t>
          </w:r>
        </w:p>
        <w:p w:rsidR="00E3088F" w:rsidRDefault="00E3088F" w:rsidP="00D67252">
          <w:pPr>
            <w:pStyle w:val="AltBilgi"/>
            <w:jc w:val="center"/>
            <w:rPr>
              <w:rFonts w:ascii="Times New Roman" w:hAnsi="Times New Roman" w:cs="Times New Roman"/>
              <w:b/>
              <w:sz w:val="20"/>
              <w:szCs w:val="20"/>
            </w:rPr>
          </w:pPr>
        </w:p>
        <w:p w:rsidR="00B62079" w:rsidRDefault="008A7F0D"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Deniz YILMAZ</w:t>
          </w:r>
        </w:p>
        <w:p w:rsidR="00C95DA3" w:rsidRDefault="00C95DA3"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Sağlık Teknikeri</w:t>
          </w:r>
        </w:p>
        <w:p w:rsidR="00C95DA3" w:rsidRPr="00CA1C4E" w:rsidRDefault="00C95DA3"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Taşınır Kayıt Yetkilisi</w:t>
          </w:r>
          <w:bookmarkStart w:id="0" w:name="_GoBack"/>
          <w:bookmarkEnd w:id="0"/>
        </w:p>
      </w:tc>
      <w:tc>
        <w:tcPr>
          <w:tcW w:w="2625" w:type="dxa"/>
        </w:tcPr>
        <w:p w:rsidR="0012438D" w:rsidRPr="00CA1C4E" w:rsidRDefault="0012438D"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İ</w:t>
          </w:r>
          <w:r>
            <w:rPr>
              <w:rFonts w:ascii="Times New Roman" w:hAnsi="Times New Roman" w:cs="Times New Roman"/>
              <w:b/>
              <w:sz w:val="20"/>
              <w:szCs w:val="20"/>
            </w:rPr>
            <w:t>çerik</w:t>
          </w:r>
          <w:r w:rsidR="00BB734D">
            <w:rPr>
              <w:rFonts w:ascii="Times New Roman" w:hAnsi="Times New Roman" w:cs="Times New Roman"/>
              <w:b/>
              <w:sz w:val="20"/>
              <w:szCs w:val="20"/>
            </w:rPr>
            <w:t xml:space="preserve"> </w:t>
          </w:r>
          <w:r>
            <w:rPr>
              <w:rFonts w:ascii="Times New Roman" w:hAnsi="Times New Roman" w:cs="Times New Roman"/>
              <w:b/>
              <w:sz w:val="20"/>
              <w:szCs w:val="20"/>
            </w:rPr>
            <w:t>Yönünden Kontrol Eden</w:t>
          </w:r>
        </w:p>
      </w:tc>
      <w:tc>
        <w:tcPr>
          <w:tcW w:w="2268" w:type="dxa"/>
        </w:tcPr>
        <w:p w:rsidR="0012438D" w:rsidRPr="00CA1C4E" w:rsidRDefault="0012438D"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Sistem Yönünden Kontrol Eden</w:t>
          </w:r>
        </w:p>
      </w:tc>
      <w:tc>
        <w:tcPr>
          <w:tcW w:w="2693" w:type="dxa"/>
        </w:tcPr>
        <w:p w:rsidR="0012438D" w:rsidRPr="00CA1C4E" w:rsidRDefault="0012438D"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Onaylayan</w:t>
          </w:r>
        </w:p>
      </w:tc>
    </w:tr>
  </w:tbl>
  <w:p w:rsidR="0012438D" w:rsidRDefault="0012438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0D" w:rsidRDefault="008A7F0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20" w:rsidRDefault="00137B20" w:rsidP="00BE39BF">
      <w:pPr>
        <w:spacing w:after="0" w:line="240" w:lineRule="auto"/>
      </w:pPr>
      <w:r>
        <w:separator/>
      </w:r>
    </w:p>
  </w:footnote>
  <w:footnote w:type="continuationSeparator" w:id="0">
    <w:p w:rsidR="00137B20" w:rsidRDefault="00137B20" w:rsidP="00BE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0D" w:rsidRDefault="008A7F0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ayout w:type="fixed"/>
      <w:tblLook w:val="04A0" w:firstRow="1" w:lastRow="0" w:firstColumn="1" w:lastColumn="0" w:noHBand="0" w:noVBand="1"/>
    </w:tblPr>
    <w:tblGrid>
      <w:gridCol w:w="1843"/>
      <w:gridCol w:w="5529"/>
      <w:gridCol w:w="1559"/>
      <w:gridCol w:w="283"/>
      <w:gridCol w:w="1276"/>
    </w:tblGrid>
    <w:tr w:rsidR="0012438D" w:rsidRPr="00011948" w:rsidTr="00CA1C4E">
      <w:trPr>
        <w:trHeight w:val="45"/>
      </w:trPr>
      <w:tc>
        <w:tcPr>
          <w:tcW w:w="1843" w:type="dxa"/>
          <w:vMerge w:val="restart"/>
        </w:tcPr>
        <w:p w:rsidR="0012438D" w:rsidRPr="00011948" w:rsidRDefault="0012438D" w:rsidP="0012438D">
          <w:pPr>
            <w:pStyle w:val="stBilgi"/>
            <w:rPr>
              <w:sz w:val="20"/>
              <w:szCs w:val="20"/>
            </w:rPr>
          </w:pPr>
          <w:r>
            <w:rPr>
              <w:noProof/>
              <w:lang w:eastAsia="tr-TR"/>
            </w:rPr>
            <w:drawing>
              <wp:anchor distT="0" distB="0" distL="114300" distR="114300" simplePos="0" relativeHeight="251658752" behindDoc="1" locked="0" layoutInCell="1" allowOverlap="0">
                <wp:simplePos x="0" y="0"/>
                <wp:positionH relativeFrom="column">
                  <wp:posOffset>89838</wp:posOffset>
                </wp:positionH>
                <wp:positionV relativeFrom="paragraph">
                  <wp:posOffset>23577</wp:posOffset>
                </wp:positionV>
                <wp:extent cx="845389" cy="845389"/>
                <wp:effectExtent l="0" t="0" r="0" b="0"/>
                <wp:wrapNone/>
                <wp:docPr id="1" name="Resim 1"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03_2009_Marmara Üniversitesi\logo\logo-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389" cy="845389"/>
                        </a:xfrm>
                        <a:prstGeom prst="rect">
                          <a:avLst/>
                        </a:prstGeom>
                        <a:noFill/>
                        <a:ln>
                          <a:noFill/>
                        </a:ln>
                      </pic:spPr>
                    </pic:pic>
                  </a:graphicData>
                </a:graphic>
              </wp:anchor>
            </w:drawing>
          </w:r>
        </w:p>
      </w:tc>
      <w:tc>
        <w:tcPr>
          <w:tcW w:w="5529" w:type="dxa"/>
          <w:vMerge w:val="restart"/>
          <w:tcBorders>
            <w:right w:val="single" w:sz="4" w:space="0" w:color="auto"/>
          </w:tcBorders>
        </w:tcPr>
        <w:p w:rsidR="0012438D" w:rsidRDefault="0012438D" w:rsidP="00011948">
          <w:pPr>
            <w:pStyle w:val="stBilgi"/>
            <w:jc w:val="center"/>
            <w:rPr>
              <w:b/>
              <w:sz w:val="40"/>
              <w:szCs w:val="20"/>
            </w:rPr>
          </w:pPr>
        </w:p>
        <w:p w:rsidR="0012438D" w:rsidRPr="00011948" w:rsidRDefault="002A3E2A" w:rsidP="007936B0">
          <w:pPr>
            <w:pStyle w:val="stBilgi"/>
            <w:jc w:val="center"/>
            <w:rPr>
              <w:b/>
              <w:sz w:val="40"/>
              <w:szCs w:val="20"/>
            </w:rPr>
          </w:pPr>
          <w:r>
            <w:rPr>
              <w:b/>
              <w:sz w:val="40"/>
              <w:szCs w:val="20"/>
            </w:rPr>
            <w:t>GASTROENTERELOJİ</w:t>
          </w:r>
          <w:r w:rsidR="0012438D">
            <w:rPr>
              <w:b/>
              <w:sz w:val="40"/>
              <w:szCs w:val="20"/>
            </w:rPr>
            <w:t xml:space="preserve"> ENSTİTÜSÜ </w:t>
          </w:r>
          <w:r w:rsidR="007936B0">
            <w:rPr>
              <w:b/>
              <w:sz w:val="40"/>
              <w:szCs w:val="20"/>
            </w:rPr>
            <w:t>İHALE</w:t>
          </w:r>
          <w:r w:rsidR="00E2300F">
            <w:rPr>
              <w:b/>
              <w:sz w:val="40"/>
              <w:szCs w:val="20"/>
            </w:rPr>
            <w:t xml:space="preserve"> İŞLEMLERİ</w:t>
          </w:r>
          <w:r w:rsidR="0012438D">
            <w:rPr>
              <w:b/>
              <w:sz w:val="40"/>
              <w:szCs w:val="20"/>
            </w:rPr>
            <w:t xml:space="preserve"> PROSEDÜRÜ</w:t>
          </w:r>
        </w:p>
      </w:tc>
      <w:tc>
        <w:tcPr>
          <w:tcW w:w="1559" w:type="dxa"/>
          <w:tcBorders>
            <w:top w:val="single" w:sz="4" w:space="0" w:color="auto"/>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DOKÜMAN NO</w:t>
          </w:r>
        </w:p>
      </w:tc>
      <w:tc>
        <w:tcPr>
          <w:tcW w:w="283" w:type="dxa"/>
          <w:tcBorders>
            <w:top w:val="single" w:sz="4" w:space="0" w:color="auto"/>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single" w:sz="4" w:space="0" w:color="auto"/>
            <w:left w:val="nil"/>
            <w:bottom w:val="nil"/>
            <w:right w:val="single" w:sz="4" w:space="0" w:color="auto"/>
          </w:tcBorders>
        </w:tcPr>
        <w:p w:rsidR="0012438D" w:rsidRPr="00011948" w:rsidRDefault="0012438D" w:rsidP="0012438D">
          <w:pPr>
            <w:pStyle w:val="stBilgi"/>
            <w:rPr>
              <w:sz w:val="20"/>
              <w:szCs w:val="20"/>
            </w:rPr>
          </w:pPr>
          <w:r>
            <w:rPr>
              <w:sz w:val="20"/>
              <w:szCs w:val="20"/>
            </w:rPr>
            <w:t>PR-</w:t>
          </w: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YAYIN TARİHİ</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BB734D" w:rsidP="0012438D">
          <w:pPr>
            <w:pStyle w:val="stBilgi"/>
            <w:rPr>
              <w:sz w:val="20"/>
              <w:szCs w:val="20"/>
            </w:rPr>
          </w:pPr>
          <w:r>
            <w:rPr>
              <w:sz w:val="20"/>
              <w:szCs w:val="20"/>
            </w:rPr>
            <w:t>20.10.2017</w:t>
          </w: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REVİZYON TARİHİ</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8A7F0D" w:rsidP="008A7F0D">
          <w:pPr>
            <w:pStyle w:val="stBilgi"/>
            <w:rPr>
              <w:sz w:val="20"/>
              <w:szCs w:val="20"/>
            </w:rPr>
          </w:pPr>
          <w:r>
            <w:rPr>
              <w:sz w:val="20"/>
              <w:szCs w:val="20"/>
            </w:rPr>
            <w:t>25.06</w:t>
          </w:r>
          <w:r w:rsidR="00BB734D">
            <w:rPr>
              <w:sz w:val="20"/>
              <w:szCs w:val="20"/>
            </w:rPr>
            <w:t>.20</w:t>
          </w:r>
          <w:r>
            <w:rPr>
              <w:sz w:val="20"/>
              <w:szCs w:val="20"/>
            </w:rPr>
            <w:t>21</w:t>
          </w: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REVİZYON NO</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12438D" w:rsidP="0012438D">
          <w:pPr>
            <w:pStyle w:val="stBilgi"/>
            <w:rPr>
              <w:sz w:val="20"/>
              <w:szCs w:val="20"/>
            </w:rPr>
          </w:pPr>
        </w:p>
      </w:tc>
    </w:tr>
    <w:tr w:rsidR="0012438D" w:rsidRPr="00011948" w:rsidTr="00CA1C4E">
      <w:trPr>
        <w:trHeight w:val="400"/>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single" w:sz="4" w:space="0" w:color="auto"/>
            <w:right w:val="nil"/>
          </w:tcBorders>
        </w:tcPr>
        <w:p w:rsidR="0012438D" w:rsidRPr="00011948" w:rsidRDefault="0012438D" w:rsidP="0012438D">
          <w:pPr>
            <w:pStyle w:val="stBilgi"/>
            <w:rPr>
              <w:sz w:val="18"/>
              <w:szCs w:val="18"/>
            </w:rPr>
          </w:pPr>
          <w:r w:rsidRPr="00011948">
            <w:rPr>
              <w:sz w:val="18"/>
              <w:szCs w:val="18"/>
            </w:rPr>
            <w:t>SAYFA NO</w:t>
          </w:r>
        </w:p>
      </w:tc>
      <w:tc>
        <w:tcPr>
          <w:tcW w:w="283" w:type="dxa"/>
          <w:tcBorders>
            <w:top w:val="nil"/>
            <w:left w:val="nil"/>
            <w:bottom w:val="single" w:sz="4" w:space="0" w:color="auto"/>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single" w:sz="4" w:space="0" w:color="auto"/>
            <w:right w:val="single" w:sz="4" w:space="0" w:color="auto"/>
          </w:tcBorders>
        </w:tcPr>
        <w:p w:rsidR="0012438D" w:rsidRPr="00011948" w:rsidRDefault="0089623F" w:rsidP="0012438D">
          <w:pPr>
            <w:pStyle w:val="stBilgi"/>
            <w:rPr>
              <w:sz w:val="20"/>
              <w:szCs w:val="20"/>
            </w:rPr>
          </w:pPr>
          <w:r>
            <w:rPr>
              <w:sz w:val="20"/>
              <w:szCs w:val="20"/>
            </w:rPr>
            <w:fldChar w:fldCharType="begin"/>
          </w:r>
          <w:r w:rsidR="0012438D">
            <w:rPr>
              <w:sz w:val="20"/>
              <w:szCs w:val="20"/>
            </w:rPr>
            <w:instrText xml:space="preserve"> PAGE  \* Arabic  \* MERGEFORMAT </w:instrText>
          </w:r>
          <w:r>
            <w:rPr>
              <w:sz w:val="20"/>
              <w:szCs w:val="20"/>
            </w:rPr>
            <w:fldChar w:fldCharType="separate"/>
          </w:r>
          <w:r w:rsidR="00C95DA3">
            <w:rPr>
              <w:noProof/>
              <w:sz w:val="20"/>
              <w:szCs w:val="20"/>
            </w:rPr>
            <w:t>1</w:t>
          </w:r>
          <w:r>
            <w:rPr>
              <w:sz w:val="20"/>
              <w:szCs w:val="20"/>
            </w:rPr>
            <w:fldChar w:fldCharType="end"/>
          </w:r>
          <w:r w:rsidR="0012438D">
            <w:rPr>
              <w:sz w:val="20"/>
              <w:szCs w:val="20"/>
            </w:rPr>
            <w:t>/</w:t>
          </w:r>
          <w:r w:rsidR="00137B20">
            <w:fldChar w:fldCharType="begin"/>
          </w:r>
          <w:r w:rsidR="00137B20">
            <w:instrText xml:space="preserve"> NUMPAGES  \* Arabic  \* MERGEFORMAT </w:instrText>
          </w:r>
          <w:r w:rsidR="00137B20">
            <w:fldChar w:fldCharType="separate"/>
          </w:r>
          <w:r w:rsidR="00C95DA3" w:rsidRPr="00C95DA3">
            <w:rPr>
              <w:noProof/>
              <w:sz w:val="20"/>
              <w:szCs w:val="20"/>
            </w:rPr>
            <w:t>2</w:t>
          </w:r>
          <w:r w:rsidR="00137B20">
            <w:rPr>
              <w:noProof/>
              <w:sz w:val="20"/>
              <w:szCs w:val="20"/>
            </w:rPr>
            <w:fldChar w:fldCharType="end"/>
          </w:r>
        </w:p>
      </w:tc>
    </w:tr>
  </w:tbl>
  <w:p w:rsidR="0012438D" w:rsidRPr="00011948" w:rsidRDefault="0012438D" w:rsidP="00011948">
    <w:pPr>
      <w:pStyle w:val="stBilgi"/>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0D" w:rsidRDefault="008A7F0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148"/>
    <w:multiLevelType w:val="hybridMultilevel"/>
    <w:tmpl w:val="8F96F0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BC7042"/>
    <w:multiLevelType w:val="hybridMultilevel"/>
    <w:tmpl w:val="D2C4478A"/>
    <w:lvl w:ilvl="0" w:tplc="35A0BE0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73F5"/>
    <w:rsid w:val="00011948"/>
    <w:rsid w:val="00024F2D"/>
    <w:rsid w:val="00032896"/>
    <w:rsid w:val="000373F5"/>
    <w:rsid w:val="00055722"/>
    <w:rsid w:val="000606CD"/>
    <w:rsid w:val="00092F1F"/>
    <w:rsid w:val="000A137E"/>
    <w:rsid w:val="000A71F8"/>
    <w:rsid w:val="000D2AF0"/>
    <w:rsid w:val="000E76A0"/>
    <w:rsid w:val="001155B0"/>
    <w:rsid w:val="0012438D"/>
    <w:rsid w:val="001250E8"/>
    <w:rsid w:val="00137848"/>
    <w:rsid w:val="00137B20"/>
    <w:rsid w:val="00173FE8"/>
    <w:rsid w:val="001A3CDE"/>
    <w:rsid w:val="001B2831"/>
    <w:rsid w:val="001B564E"/>
    <w:rsid w:val="001C1908"/>
    <w:rsid w:val="001C4BBD"/>
    <w:rsid w:val="001D73FD"/>
    <w:rsid w:val="001F770B"/>
    <w:rsid w:val="002046C0"/>
    <w:rsid w:val="002423A1"/>
    <w:rsid w:val="002566FD"/>
    <w:rsid w:val="00257008"/>
    <w:rsid w:val="00273A95"/>
    <w:rsid w:val="002A3E2A"/>
    <w:rsid w:val="00330A32"/>
    <w:rsid w:val="003A6CDE"/>
    <w:rsid w:val="003B3BC8"/>
    <w:rsid w:val="003F5177"/>
    <w:rsid w:val="003F69F7"/>
    <w:rsid w:val="003F758D"/>
    <w:rsid w:val="00435043"/>
    <w:rsid w:val="004725C4"/>
    <w:rsid w:val="00475CFE"/>
    <w:rsid w:val="004E7C66"/>
    <w:rsid w:val="004F3376"/>
    <w:rsid w:val="005002DD"/>
    <w:rsid w:val="00533820"/>
    <w:rsid w:val="00542513"/>
    <w:rsid w:val="0058207B"/>
    <w:rsid w:val="005D34D8"/>
    <w:rsid w:val="005D5872"/>
    <w:rsid w:val="005E40A8"/>
    <w:rsid w:val="00656473"/>
    <w:rsid w:val="00666D65"/>
    <w:rsid w:val="00683A0D"/>
    <w:rsid w:val="006E425A"/>
    <w:rsid w:val="006F5656"/>
    <w:rsid w:val="00710C91"/>
    <w:rsid w:val="0074301F"/>
    <w:rsid w:val="007721D0"/>
    <w:rsid w:val="007936B0"/>
    <w:rsid w:val="007D758B"/>
    <w:rsid w:val="00862160"/>
    <w:rsid w:val="008956D8"/>
    <w:rsid w:val="0089623F"/>
    <w:rsid w:val="008973D9"/>
    <w:rsid w:val="008A7F0D"/>
    <w:rsid w:val="008D0EF4"/>
    <w:rsid w:val="008D274D"/>
    <w:rsid w:val="008F3EFF"/>
    <w:rsid w:val="00913503"/>
    <w:rsid w:val="00945227"/>
    <w:rsid w:val="009535C2"/>
    <w:rsid w:val="00954E32"/>
    <w:rsid w:val="00970F7F"/>
    <w:rsid w:val="00997249"/>
    <w:rsid w:val="009B7E68"/>
    <w:rsid w:val="009C3D72"/>
    <w:rsid w:val="009D1088"/>
    <w:rsid w:val="009E2071"/>
    <w:rsid w:val="009E5B4B"/>
    <w:rsid w:val="00A02389"/>
    <w:rsid w:val="00A220F2"/>
    <w:rsid w:val="00A860AB"/>
    <w:rsid w:val="00AA6CF5"/>
    <w:rsid w:val="00AC6856"/>
    <w:rsid w:val="00AE36BE"/>
    <w:rsid w:val="00B01D2D"/>
    <w:rsid w:val="00B27978"/>
    <w:rsid w:val="00B62079"/>
    <w:rsid w:val="00BA153E"/>
    <w:rsid w:val="00BB5C80"/>
    <w:rsid w:val="00BB6ABA"/>
    <w:rsid w:val="00BB734D"/>
    <w:rsid w:val="00BD4193"/>
    <w:rsid w:val="00BE2405"/>
    <w:rsid w:val="00BE39BF"/>
    <w:rsid w:val="00C049D6"/>
    <w:rsid w:val="00C066B6"/>
    <w:rsid w:val="00C205BD"/>
    <w:rsid w:val="00C23899"/>
    <w:rsid w:val="00C73CC2"/>
    <w:rsid w:val="00C95DA3"/>
    <w:rsid w:val="00CA1C4E"/>
    <w:rsid w:val="00CD1FED"/>
    <w:rsid w:val="00CF52FD"/>
    <w:rsid w:val="00D47B09"/>
    <w:rsid w:val="00D67252"/>
    <w:rsid w:val="00DA7F18"/>
    <w:rsid w:val="00DD26C0"/>
    <w:rsid w:val="00E2300F"/>
    <w:rsid w:val="00E3088F"/>
    <w:rsid w:val="00E57AED"/>
    <w:rsid w:val="00EA74D8"/>
    <w:rsid w:val="00EE5EFD"/>
    <w:rsid w:val="00EF70B7"/>
    <w:rsid w:val="00F36F90"/>
    <w:rsid w:val="00F81793"/>
    <w:rsid w:val="00FC7B51"/>
    <w:rsid w:val="00FE0C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4094"/>
  <w15:docId w15:val="{1722820B-A4C3-45CA-9D63-DE49B84C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9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39BF"/>
  </w:style>
  <w:style w:type="paragraph" w:styleId="AltBilgi">
    <w:name w:val="footer"/>
    <w:basedOn w:val="Normal"/>
    <w:link w:val="AltBilgiChar"/>
    <w:uiPriority w:val="99"/>
    <w:unhideWhenUsed/>
    <w:rsid w:val="00BE39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39BF"/>
  </w:style>
  <w:style w:type="paragraph" w:styleId="BalonMetni">
    <w:name w:val="Balloon Text"/>
    <w:basedOn w:val="Normal"/>
    <w:link w:val="BalonMetniChar"/>
    <w:uiPriority w:val="99"/>
    <w:semiHidden/>
    <w:unhideWhenUsed/>
    <w:rsid w:val="00BE39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9BF"/>
    <w:rPr>
      <w:rFonts w:ascii="Tahoma" w:hAnsi="Tahoma" w:cs="Tahoma"/>
      <w:sz w:val="16"/>
      <w:szCs w:val="16"/>
    </w:rPr>
  </w:style>
  <w:style w:type="table" w:styleId="TabloKlavuzu">
    <w:name w:val="Table Grid"/>
    <w:basedOn w:val="NormalTablo"/>
    <w:uiPriority w:val="59"/>
    <w:rsid w:val="0001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E425A"/>
    <w:rPr>
      <w:color w:val="0000FF"/>
      <w:u w:val="single"/>
    </w:rPr>
  </w:style>
  <w:style w:type="character" w:styleId="zlenenKpr">
    <w:name w:val="FollowedHyperlink"/>
    <w:basedOn w:val="VarsaylanParagrafYazTipi"/>
    <w:uiPriority w:val="99"/>
    <w:semiHidden/>
    <w:unhideWhenUsed/>
    <w:rsid w:val="00173FE8"/>
    <w:rPr>
      <w:color w:val="800080" w:themeColor="followedHyperlink"/>
      <w:u w:val="single"/>
    </w:rPr>
  </w:style>
  <w:style w:type="paragraph" w:styleId="ListeParagraf">
    <w:name w:val="List Paragraph"/>
    <w:basedOn w:val="Normal"/>
    <w:uiPriority w:val="34"/>
    <w:qFormat/>
    <w:rsid w:val="006F56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6240">
      <w:bodyDiv w:val="1"/>
      <w:marLeft w:val="0"/>
      <w:marRight w:val="0"/>
      <w:marTop w:val="0"/>
      <w:marBottom w:val="0"/>
      <w:divBdr>
        <w:top w:val="none" w:sz="0" w:space="0" w:color="auto"/>
        <w:left w:val="none" w:sz="0" w:space="0" w:color="auto"/>
        <w:bottom w:val="none" w:sz="0" w:space="0" w:color="auto"/>
        <w:right w:val="none" w:sz="0" w:space="0" w:color="auto"/>
      </w:divBdr>
    </w:div>
    <w:div w:id="600604628">
      <w:bodyDiv w:val="1"/>
      <w:marLeft w:val="0"/>
      <w:marRight w:val="0"/>
      <w:marTop w:val="0"/>
      <w:marBottom w:val="0"/>
      <w:divBdr>
        <w:top w:val="none" w:sz="0" w:space="0" w:color="auto"/>
        <w:left w:val="none" w:sz="0" w:space="0" w:color="auto"/>
        <w:bottom w:val="none" w:sz="0" w:space="0" w:color="auto"/>
        <w:right w:val="none" w:sz="0" w:space="0" w:color="auto"/>
      </w:divBdr>
    </w:div>
    <w:div w:id="731277294">
      <w:bodyDiv w:val="1"/>
      <w:marLeft w:val="0"/>
      <w:marRight w:val="0"/>
      <w:marTop w:val="0"/>
      <w:marBottom w:val="0"/>
      <w:divBdr>
        <w:top w:val="none" w:sz="0" w:space="0" w:color="auto"/>
        <w:left w:val="none" w:sz="0" w:space="0" w:color="auto"/>
        <w:bottom w:val="none" w:sz="0" w:space="0" w:color="auto"/>
        <w:right w:val="none" w:sz="0" w:space="0" w:color="auto"/>
      </w:divBdr>
    </w:div>
    <w:div w:id="743139713">
      <w:bodyDiv w:val="1"/>
      <w:marLeft w:val="0"/>
      <w:marRight w:val="0"/>
      <w:marTop w:val="0"/>
      <w:marBottom w:val="0"/>
      <w:divBdr>
        <w:top w:val="none" w:sz="0" w:space="0" w:color="auto"/>
        <w:left w:val="none" w:sz="0" w:space="0" w:color="auto"/>
        <w:bottom w:val="none" w:sz="0" w:space="0" w:color="auto"/>
        <w:right w:val="none" w:sz="0" w:space="0" w:color="auto"/>
      </w:divBdr>
    </w:div>
    <w:div w:id="1250427953">
      <w:bodyDiv w:val="1"/>
      <w:marLeft w:val="0"/>
      <w:marRight w:val="0"/>
      <w:marTop w:val="0"/>
      <w:marBottom w:val="0"/>
      <w:divBdr>
        <w:top w:val="none" w:sz="0" w:space="0" w:color="auto"/>
        <w:left w:val="none" w:sz="0" w:space="0" w:color="auto"/>
        <w:bottom w:val="none" w:sz="0" w:space="0" w:color="auto"/>
        <w:right w:val="none" w:sz="0" w:space="0" w:color="auto"/>
      </w:divBdr>
    </w:div>
    <w:div w:id="1432163765">
      <w:bodyDiv w:val="1"/>
      <w:marLeft w:val="0"/>
      <w:marRight w:val="0"/>
      <w:marTop w:val="0"/>
      <w:marBottom w:val="0"/>
      <w:divBdr>
        <w:top w:val="none" w:sz="0" w:space="0" w:color="auto"/>
        <w:left w:val="none" w:sz="0" w:space="0" w:color="auto"/>
        <w:bottom w:val="none" w:sz="0" w:space="0" w:color="auto"/>
        <w:right w:val="none" w:sz="0" w:space="0" w:color="auto"/>
      </w:divBdr>
    </w:div>
    <w:div w:id="1462773226">
      <w:bodyDiv w:val="1"/>
      <w:marLeft w:val="0"/>
      <w:marRight w:val="0"/>
      <w:marTop w:val="0"/>
      <w:marBottom w:val="0"/>
      <w:divBdr>
        <w:top w:val="none" w:sz="0" w:space="0" w:color="auto"/>
        <w:left w:val="none" w:sz="0" w:space="0" w:color="auto"/>
        <w:bottom w:val="none" w:sz="0" w:space="0" w:color="auto"/>
        <w:right w:val="none" w:sz="0" w:space="0" w:color="auto"/>
      </w:divBdr>
    </w:div>
    <w:div w:id="1613395089">
      <w:bodyDiv w:val="1"/>
      <w:marLeft w:val="0"/>
      <w:marRight w:val="0"/>
      <w:marTop w:val="0"/>
      <w:marBottom w:val="0"/>
      <w:divBdr>
        <w:top w:val="none" w:sz="0" w:space="0" w:color="auto"/>
        <w:left w:val="none" w:sz="0" w:space="0" w:color="auto"/>
        <w:bottom w:val="none" w:sz="0" w:space="0" w:color="auto"/>
        <w:right w:val="none" w:sz="0" w:space="0" w:color="auto"/>
      </w:divBdr>
    </w:div>
    <w:div w:id="1731806830">
      <w:bodyDiv w:val="1"/>
      <w:marLeft w:val="0"/>
      <w:marRight w:val="0"/>
      <w:marTop w:val="0"/>
      <w:marBottom w:val="0"/>
      <w:divBdr>
        <w:top w:val="none" w:sz="0" w:space="0" w:color="auto"/>
        <w:left w:val="none" w:sz="0" w:space="0" w:color="auto"/>
        <w:bottom w:val="none" w:sz="0" w:space="0" w:color="auto"/>
        <w:right w:val="none" w:sz="0" w:space="0" w:color="auto"/>
      </w:divBdr>
    </w:div>
    <w:div w:id="18285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Temp\Prosed&#252;r%20&#350;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ED47-6B90-46C6-888A-5BE74F6F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Prosedür Şablon</Template>
  <TotalTime>0</TotalTime>
  <Pages>2</Pages>
  <Words>285</Words>
  <Characters>1627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Sema Karakuş</cp:lastModifiedBy>
  <cp:revision>5</cp:revision>
  <dcterms:created xsi:type="dcterms:W3CDTF">2017-09-18T07:31:00Z</dcterms:created>
  <dcterms:modified xsi:type="dcterms:W3CDTF">2021-08-03T10:47:00Z</dcterms:modified>
</cp:coreProperties>
</file>