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F16D64" w:rsidRDefault="001A7226" w:rsidP="0044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443BB8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Mazeret İzni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F16D64" w:rsidP="00443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ve İdari Pe</w:t>
            </w:r>
            <w:r w:rsidR="00443BB8">
              <w:rPr>
                <w:rFonts w:ascii="Times New Roman" w:hAnsi="Times New Roman" w:cs="Times New Roman"/>
                <w:sz w:val="20"/>
                <w:szCs w:val="20"/>
              </w:rPr>
              <w:t xml:space="preserve">rsonelin mevzuata uygun olarak mazeret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izinlerini kullanması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F16D64" w:rsidP="00F1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2547, 657, 4857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kanun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443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Mazeret 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zni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 olan personel 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mazeret izni talep 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formunu doldurup imzalayarak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kanıtlayıcı belgeler ile birlikte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personel işlerine verir</w:t>
            </w:r>
            <w:r w:rsid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A1751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443BB8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Mazeret İzni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Talep Formu</w:t>
            </w:r>
          </w:p>
          <w:p w:rsidR="00443BB8" w:rsidRPr="00173FE8" w:rsidRDefault="00443BB8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Kanıtlayıcı Belgeler. (Sağlık Raporu, Doğum Belgesi, Refakat Belgesi vs.)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3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İzin talebi değerlendirilir.</w:t>
            </w:r>
            <w:r w:rsidR="007B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Uygun değilse m</w:t>
            </w:r>
            <w:bookmarkStart w:id="0" w:name="_GoBack"/>
            <w:bookmarkEnd w:id="0"/>
            <w:r w:rsidR="00C74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evzuata uygun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düzenlenmesi için ilgili personele iade edilir. </w:t>
            </w:r>
            <w:r w:rsidR="00C74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Uygunsa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paraf edilerek Enstitü Sekreterine gönderilir.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1A1751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İzin Talep Eden Personel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C74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C7445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Sekreteri tarafından imzalanan form Enstitü Müdürü onayına sunulur.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Sekreteri</w:t>
            </w:r>
          </w:p>
          <w:p w:rsidR="00F342E9" w:rsidRPr="00675A45" w:rsidRDefault="00C744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İmza sonrası izin onayı personele bildirilir.</w:t>
            </w:r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İzin Takip Formuna işlenir. </w:t>
            </w:r>
            <w:proofErr w:type="spellStart"/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PBYS’ye</w:t>
            </w:r>
            <w:proofErr w:type="spellEnd"/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işlenir.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Sağlık personeli ise kadrosunun bulunduğu yere üst yazı ile bildirilir. İzin formu personelin özlük dosyasına konur.</w:t>
            </w:r>
            <w:r w:rsidR="00C74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Hastalık izni kullanmış ise Maaş Birimine bilgi verilir.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  <w:p w:rsidR="00675A45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1-2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Default="00443BB8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Memur Mazeret İzin Talep Formu</w:t>
            </w:r>
          </w:p>
          <w:p w:rsidR="00443BB8" w:rsidRDefault="00443BB8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İşçi Mazeret İzin Talep Formu</w:t>
            </w:r>
          </w:p>
          <w:p w:rsidR="00F16D64" w:rsidRPr="006D3351" w:rsidRDefault="00F16D64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82" w:rsidRDefault="00713482" w:rsidP="00BE39BF">
      <w:pPr>
        <w:spacing w:after="0" w:line="240" w:lineRule="auto"/>
      </w:pPr>
      <w:r>
        <w:separator/>
      </w:r>
    </w:p>
  </w:endnote>
  <w:endnote w:type="continuationSeparator" w:id="0">
    <w:p w:rsidR="00713482" w:rsidRDefault="00713482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82" w:rsidRDefault="00713482" w:rsidP="00BE39BF">
      <w:pPr>
        <w:spacing w:after="0" w:line="240" w:lineRule="auto"/>
      </w:pPr>
      <w:r>
        <w:separator/>
      </w:r>
    </w:p>
  </w:footnote>
  <w:footnote w:type="continuationSeparator" w:id="0">
    <w:p w:rsidR="00713482" w:rsidRDefault="00713482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443BB8">
            <w:rPr>
              <w:b/>
              <w:sz w:val="40"/>
              <w:szCs w:val="20"/>
            </w:rPr>
            <w:t>MAZERET İZNİ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275805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7B3A9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7B3A9D" w:rsidRPr="007B3A9D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402FB"/>
    <w:rsid w:val="00443BB8"/>
    <w:rsid w:val="00453473"/>
    <w:rsid w:val="00475CF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36241"/>
    <w:rsid w:val="00656473"/>
    <w:rsid w:val="00660CDC"/>
    <w:rsid w:val="00666D65"/>
    <w:rsid w:val="00666D89"/>
    <w:rsid w:val="00675A45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13482"/>
    <w:rsid w:val="0074301F"/>
    <w:rsid w:val="00791AB4"/>
    <w:rsid w:val="00791CC6"/>
    <w:rsid w:val="007929F5"/>
    <w:rsid w:val="007B3A9D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7445B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1390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9335C"/>
    <w:rsid w:val="00FB4DB7"/>
    <w:rsid w:val="00FE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F85C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1A1C-0D39-441C-97C4-EF5D853C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4</cp:revision>
  <dcterms:created xsi:type="dcterms:W3CDTF">2021-07-30T08:59:00Z</dcterms:created>
  <dcterms:modified xsi:type="dcterms:W3CDTF">2021-07-30T09:10:00Z</dcterms:modified>
</cp:coreProperties>
</file>